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350"/>
        <w:gridCol w:w="7256"/>
      </w:tblGrid>
      <w:tr w:rsidR="00A8666F" w:rsidTr="00A8666F">
        <w:trPr>
          <w:trHeight w:val="316"/>
        </w:trPr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8666F" w:rsidRDefault="00A8666F">
            <w:pPr>
              <w:jc w:val="center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304925"/>
                  <wp:effectExtent l="0" t="0" r="9525" b="9525"/>
                  <wp:docPr id="3" name="Рисунок 3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666F" w:rsidRDefault="00A8666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Общество с ограниченной ответственностью</w:t>
            </w:r>
          </w:p>
          <w:p w:rsidR="00A8666F" w:rsidRDefault="00A8666F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«Смоленский»</w:t>
            </w:r>
          </w:p>
          <w:p w:rsidR="00A8666F" w:rsidRDefault="00A866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A8666F" w:rsidRDefault="00A866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A8666F" w:rsidRDefault="00A8666F">
            <w:pPr>
              <w:pStyle w:val="a6"/>
              <w:framePr w:hSpace="180" w:wrap="around" w:vAnchor="text" w:hAnchor="text" w:y="1"/>
              <w:spacing w:line="240" w:lineRule="auto"/>
              <w:jc w:val="both"/>
              <w:rPr>
                <w:rFonts w:eastAsia="Batang"/>
                <w:b/>
                <w:lang w:eastAsia="en-US"/>
              </w:rPr>
            </w:pPr>
            <w:r>
              <w:rPr>
                <w:rFonts w:eastAsia="Batang"/>
                <w:b/>
                <w:color w:val="auto"/>
                <w:lang w:eastAsia="en-US"/>
              </w:rPr>
              <w:t xml:space="preserve">Почтовый адрес: </w:t>
            </w:r>
            <w:r>
              <w:rPr>
                <w:lang w:eastAsia="en-US"/>
              </w:rPr>
              <w:t xml:space="preserve">216509, Смоленская область, г. Рославль, </w:t>
            </w:r>
            <w:proofErr w:type="spellStart"/>
            <w:r>
              <w:rPr>
                <w:lang w:eastAsia="en-US"/>
              </w:rPr>
              <w:t>Астапковичский</w:t>
            </w:r>
            <w:proofErr w:type="spellEnd"/>
            <w:r>
              <w:rPr>
                <w:lang w:eastAsia="en-US"/>
              </w:rPr>
              <w:t xml:space="preserve"> переезд, д.7.</w:t>
            </w:r>
            <w:r>
              <w:rPr>
                <w:rFonts w:eastAsia="Batang"/>
                <w:b/>
                <w:lang w:eastAsia="en-US"/>
              </w:rPr>
              <w:t xml:space="preserve"> </w:t>
            </w:r>
          </w:p>
          <w:p w:rsidR="00A8666F" w:rsidRDefault="00A8666F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  <w:sz w:val="24"/>
                <w:szCs w:val="24"/>
              </w:rPr>
              <w:t>8(48134)5-02-62</w:t>
            </w:r>
          </w:p>
          <w:p w:rsidR="00A8666F" w:rsidRDefault="00A8666F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tksml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gorkunov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A8666F" w:rsidRDefault="00A8666F" w:rsidP="00A8666F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Исх.    № ____ от_____________ 202___г.                                                                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ПРИГЛАШЕНИЕ</w:t>
      </w: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 участию в тендере</w:t>
      </w: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14"/>
          <w:szCs w:val="28"/>
        </w:rPr>
      </w:pPr>
    </w:p>
    <w:p w:rsidR="00B233B3" w:rsidRDefault="00A8666F" w:rsidP="00B233B3">
      <w:pPr>
        <w:pStyle w:val="1"/>
        <w:shd w:val="clear" w:color="auto" w:fill="FFFFFF"/>
        <w:spacing w:before="0"/>
        <w:textAlignment w:val="baseline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тендера: </w:t>
      </w:r>
      <w:r w:rsidR="00B233B3" w:rsidRPr="00B233B3">
        <w:rPr>
          <w:rFonts w:ascii="Times New Roman" w:hAnsi="Times New Roman"/>
          <w:b/>
          <w:i/>
          <w:sz w:val="24"/>
          <w:szCs w:val="28"/>
        </w:rPr>
        <w:t xml:space="preserve">«Поставка поддона 800*1200 </w:t>
      </w:r>
      <w:proofErr w:type="gramStart"/>
      <w:r w:rsidR="00B233B3" w:rsidRPr="00B233B3">
        <w:rPr>
          <w:rFonts w:ascii="Times New Roman" w:hAnsi="Times New Roman"/>
          <w:b/>
          <w:i/>
          <w:sz w:val="24"/>
          <w:szCs w:val="28"/>
        </w:rPr>
        <w:t>мм »</w:t>
      </w:r>
      <w:proofErr w:type="gramEnd"/>
      <w:r w:rsidR="00B233B3" w:rsidRPr="00B233B3">
        <w:rPr>
          <w:rFonts w:ascii="Times New Roman" w:hAnsi="Times New Roman"/>
          <w:b/>
          <w:i/>
          <w:sz w:val="24"/>
          <w:szCs w:val="28"/>
        </w:rPr>
        <w:t>;</w:t>
      </w:r>
    </w:p>
    <w:p w:rsidR="00A8666F" w:rsidRDefault="00A8666F" w:rsidP="00B233B3">
      <w:pPr>
        <w:pStyle w:val="1"/>
        <w:shd w:val="clear" w:color="auto" w:fill="FFFFFF"/>
        <w:spacing w:befor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тендера: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«Открытый конкурс</w:t>
      </w:r>
      <w:r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8666F" w:rsidRPr="00B233B3" w:rsidRDefault="00A8666F" w:rsidP="006F481C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договора </w:t>
      </w:r>
      <w:r w:rsidR="00B233B3" w:rsidRPr="00B233B3">
        <w:rPr>
          <w:rFonts w:ascii="Times New Roman" w:hAnsi="Times New Roman"/>
          <w:b/>
          <w:i/>
          <w:sz w:val="24"/>
          <w:szCs w:val="28"/>
        </w:rPr>
        <w:t xml:space="preserve">«Поставка поддона 800*1200 </w:t>
      </w:r>
      <w:proofErr w:type="gramStart"/>
      <w:r w:rsidR="00B233B3" w:rsidRPr="00B233B3">
        <w:rPr>
          <w:rFonts w:ascii="Times New Roman" w:hAnsi="Times New Roman"/>
          <w:b/>
          <w:i/>
          <w:sz w:val="24"/>
          <w:szCs w:val="28"/>
        </w:rPr>
        <w:t>мм »;</w:t>
      </w:r>
      <w:r w:rsidR="00B233B3">
        <w:rPr>
          <w:rFonts w:ascii="Times New Roman" w:hAnsi="Times New Roman"/>
          <w:b/>
          <w:i/>
          <w:sz w:val="24"/>
          <w:szCs w:val="28"/>
        </w:rPr>
        <w:t>с</w:t>
      </w:r>
      <w:proofErr w:type="gramEnd"/>
      <w:r w:rsidR="00B233B3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7805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</w:t>
      </w:r>
      <w:r w:rsidR="00B233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ставкой до комбината силами поставщика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поставки товара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(выполнения работ, оказания услуг)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7805E4" w:rsidRDefault="007805E4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за проведение тендера:</w:t>
      </w:r>
    </w:p>
    <w:p w:rsidR="00A8666F" w:rsidRDefault="00A8666F" w:rsidP="00A8666F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«Начальник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тел.8 48(134)50262 доб.41507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8666F" w:rsidRPr="00225B0E" w:rsidRDefault="00A8666F" w:rsidP="00225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Желаемый или предельный срок выполнения тендера </w:t>
      </w:r>
      <w:proofErr w:type="gramStart"/>
      <w:r w:rsidR="00225B0E">
        <w:rPr>
          <w:rFonts w:ascii="Times New Roman" w:eastAsia="Times New Roman" w:hAnsi="Times New Roman"/>
          <w:i/>
          <w:sz w:val="24"/>
          <w:szCs w:val="28"/>
          <w:lang w:eastAsia="ru-RU"/>
        </w:rPr>
        <w:t>( на</w:t>
      </w:r>
      <w:proofErr w:type="gramEnd"/>
      <w:r w:rsidR="00225B0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время выполнения договора)</w:t>
      </w:r>
    </w:p>
    <w:p w:rsidR="00A8666F" w:rsidRPr="00225B0E" w:rsidRDefault="00A8666F" w:rsidP="00225B0E">
      <w:pPr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Желаемая или предельная стоимость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тендера: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</w:t>
      </w:r>
      <w:r w:rsidR="00225B0E">
        <w:rPr>
          <w:rFonts w:ascii="Times New Roman" w:eastAsia="Times New Roman" w:hAnsi="Times New Roman"/>
          <w:i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и место представления тендерных(коммерческих)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предложений:   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 </w:t>
      </w:r>
      <w:r w:rsidR="00CE3BDC">
        <w:rPr>
          <w:rFonts w:ascii="Times New Roman" w:hAnsi="Times New Roman"/>
          <w:b/>
          <w:i/>
          <w:sz w:val="28"/>
          <w:szCs w:val="28"/>
        </w:rPr>
        <w:t xml:space="preserve">12:00 (МСК)  « </w:t>
      </w:r>
      <w:r w:rsidR="00B233B3">
        <w:rPr>
          <w:rFonts w:ascii="Times New Roman" w:hAnsi="Times New Roman"/>
          <w:b/>
          <w:i/>
          <w:sz w:val="28"/>
          <w:szCs w:val="28"/>
        </w:rPr>
        <w:t>26</w:t>
      </w:r>
      <w:r w:rsidR="007805E4">
        <w:rPr>
          <w:rFonts w:ascii="Times New Roman" w:hAnsi="Times New Roman"/>
          <w:b/>
          <w:i/>
          <w:sz w:val="28"/>
          <w:szCs w:val="28"/>
        </w:rPr>
        <w:t xml:space="preserve"> » января 2024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Тендерные предложения и документы предоставляются в электронном виде с темой письма «Торги (тендеры)»,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котором указывается наименование тендера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электронный адрес: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tksml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gorkunov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Любая переписка Заказчика и претендента возможна только с использованием данного электронного адреса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и дата рассмотрения предложений участников закупки и подведения итогов закупки: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д.7;  </w:t>
      </w:r>
      <w:r w:rsidR="00C711DB">
        <w:rPr>
          <w:rFonts w:ascii="Times New Roman" w:hAnsi="Times New Roman"/>
          <w:i/>
          <w:sz w:val="24"/>
          <w:szCs w:val="28"/>
        </w:rPr>
        <w:t xml:space="preserve"> «27</w:t>
      </w:r>
      <w:r w:rsidR="007805E4">
        <w:rPr>
          <w:rFonts w:ascii="Times New Roman" w:hAnsi="Times New Roman"/>
          <w:i/>
          <w:sz w:val="24"/>
          <w:szCs w:val="28"/>
        </w:rPr>
        <w:t>» января</w:t>
      </w:r>
      <w:r w:rsidR="0077286A">
        <w:rPr>
          <w:rFonts w:ascii="Times New Roman" w:hAnsi="Times New Roman"/>
          <w:i/>
          <w:sz w:val="24"/>
          <w:szCs w:val="28"/>
        </w:rPr>
        <w:t xml:space="preserve"> 2024</w:t>
      </w:r>
      <w:r>
        <w:rPr>
          <w:rFonts w:ascii="Times New Roman" w:hAnsi="Times New Roman"/>
          <w:i/>
          <w:sz w:val="24"/>
          <w:szCs w:val="28"/>
        </w:rPr>
        <w:t xml:space="preserve"> г.</w:t>
      </w:r>
      <w:r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договора по форме Заказчика: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Обязательно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Приложение: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4E79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документация;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Информация претенденту для подготовки тендерного предложения. </w:t>
      </w: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25B0E" w:rsidRDefault="00225B0E" w:rsidP="00A86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8666F" w:rsidRDefault="00A8666F" w:rsidP="00A866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ТК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Смоленский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A8666F" w:rsidRDefault="00A8666F" w:rsidP="00225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 А. Бурков</w:t>
      </w:r>
    </w:p>
    <w:tbl>
      <w:tblPr>
        <w:tblW w:w="100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4"/>
        <w:gridCol w:w="76"/>
        <w:gridCol w:w="2475"/>
        <w:gridCol w:w="4392"/>
        <w:gridCol w:w="11"/>
      </w:tblGrid>
      <w:tr w:rsidR="00A8666F" w:rsidTr="00A8666F">
        <w:trPr>
          <w:trHeight w:val="316"/>
        </w:trPr>
        <w:tc>
          <w:tcPr>
            <w:tcW w:w="31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8666F" w:rsidRDefault="00A8666F">
            <w:pPr>
              <w:jc w:val="center"/>
              <w:rPr>
                <w:b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800225" cy="1866900"/>
                  <wp:effectExtent l="0" t="0" r="9525" b="0"/>
                  <wp:docPr id="2" name="Рисунок 2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666F" w:rsidRDefault="00A8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Общество с ограниченной ответственностью</w:t>
            </w:r>
          </w:p>
          <w:p w:rsidR="00A8666F" w:rsidRDefault="00A866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«Смоленский»</w:t>
            </w:r>
          </w:p>
          <w:p w:rsidR="00A8666F" w:rsidRDefault="00A8666F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A8666F" w:rsidRDefault="00A8666F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A8666F" w:rsidRDefault="00A8666F">
            <w:pPr>
              <w:framePr w:hSpace="180" w:wrap="around" w:vAnchor="text" w:hAnchor="text" w:y="1"/>
              <w:tabs>
                <w:tab w:val="left" w:pos="709"/>
              </w:tabs>
              <w:suppressAutoHyphens/>
              <w:spacing w:after="0" w:line="240" w:lineRule="auto"/>
              <w:ind w:left="2137" w:hanging="2137"/>
              <w:jc w:val="both"/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Астапковичский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переезд, д.7.</w:t>
            </w:r>
            <w:r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8666F" w:rsidRDefault="00A8666F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</w:rPr>
              <w:t>8(48134)5-02-62</w:t>
            </w:r>
          </w:p>
          <w:p w:rsidR="00A8666F" w:rsidRDefault="00A8666F">
            <w:pPr>
              <w:framePr w:hSpace="180" w:wrap="around" w:vAnchor="text" w:hAnchor="text" w:y="1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tksml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gorkunov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8666F" w:rsidTr="00A8666F">
        <w:trPr>
          <w:gridAfter w:val="1"/>
          <w:wAfter w:w="11" w:type="dxa"/>
          <w:trHeight w:val="1844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666F" w:rsidRDefault="00A8666F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66F" w:rsidRDefault="00A8666F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666F" w:rsidRDefault="00A8666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>«УТВЕРЖДАЮ»</w:t>
            </w:r>
          </w:p>
          <w:p w:rsidR="00A8666F" w:rsidRDefault="00A8666F">
            <w:pPr>
              <w:spacing w:after="0" w:line="216" w:lineRule="auto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Генеральный директор ТК </w:t>
            </w:r>
            <w:r>
              <w:rPr>
                <w:rFonts w:ascii="Times New Roman" w:hAnsi="Times New Roman"/>
                <w:b/>
                <w:i/>
                <w:sz w:val="24"/>
              </w:rPr>
              <w:t>«Смоленский»</w:t>
            </w:r>
          </w:p>
          <w:p w:rsidR="00A8666F" w:rsidRDefault="00A8666F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____________</w:t>
            </w:r>
          </w:p>
          <w:p w:rsidR="00A8666F" w:rsidRDefault="00A8666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Бурков  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А.                       </w:t>
            </w:r>
          </w:p>
          <w:p w:rsidR="00A8666F" w:rsidRDefault="00A8666F">
            <w:pPr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«       »  _________ 20___г.</w:t>
            </w:r>
          </w:p>
        </w:tc>
      </w:tr>
    </w:tbl>
    <w:p w:rsidR="00A8666F" w:rsidRDefault="00A8666F" w:rsidP="00A8666F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Извещение_о_проведении"/>
      <w:bookmarkEnd w:id="0"/>
    </w:p>
    <w:p w:rsidR="00A8666F" w:rsidRDefault="00A8666F" w:rsidP="00A8666F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Техническое задание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66F" w:rsidRDefault="00225B0E" w:rsidP="00EF64D0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25B0E">
        <w:rPr>
          <w:rFonts w:ascii="Times New Roman" w:hAnsi="Times New Roman"/>
          <w:b/>
          <w:i/>
          <w:color w:val="000000" w:themeColor="text1"/>
          <w:sz w:val="24"/>
          <w:szCs w:val="28"/>
        </w:rPr>
        <w:t>«</w:t>
      </w:r>
      <w:r w:rsidR="009E0DBE">
        <w:rPr>
          <w:rFonts w:ascii="Times New Roman" w:hAnsi="Times New Roman"/>
          <w:b/>
          <w:i/>
          <w:color w:val="000000" w:themeColor="text1"/>
          <w:sz w:val="24"/>
          <w:szCs w:val="28"/>
        </w:rPr>
        <w:t>Поставка-</w:t>
      </w:r>
      <w:bookmarkStart w:id="1" w:name="_GoBack"/>
      <w:bookmarkEnd w:id="1"/>
      <w:r w:rsidRPr="00225B0E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 </w:t>
      </w:r>
      <w:r w:rsidR="00EF64D0">
        <w:rPr>
          <w:rFonts w:ascii="Times New Roman" w:hAnsi="Times New Roman"/>
          <w:b/>
          <w:i/>
          <w:color w:val="000000" w:themeColor="text1"/>
          <w:sz w:val="24"/>
          <w:szCs w:val="28"/>
        </w:rPr>
        <w:t>поддоны 800*1200мм</w:t>
      </w:r>
    </w:p>
    <w:p w:rsidR="00A8666F" w:rsidRDefault="00A8666F" w:rsidP="00A866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(коммерческих) предложений на участие в тендере 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</w:t>
      </w:r>
      <w:r w:rsidR="00CE3B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</w:t>
      </w:r>
      <w:proofErr w:type="gramStart"/>
      <w:r w:rsidR="00CE3B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предложений:   </w:t>
      </w:r>
      <w:proofErr w:type="gramEnd"/>
      <w:r w:rsidR="004C751A">
        <w:rPr>
          <w:rFonts w:ascii="Times New Roman" w:eastAsia="Times New Roman" w:hAnsi="Times New Roman"/>
          <w:sz w:val="24"/>
          <w:szCs w:val="24"/>
          <w:lang w:eastAsia="ru-RU"/>
        </w:rPr>
        <w:t xml:space="preserve">    « 11</w:t>
      </w:r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>» января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12:00 (МСК)</w:t>
      </w:r>
    </w:p>
    <w:p w:rsidR="00A8666F" w:rsidRDefault="00A8666F" w:rsidP="00A8666F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B233B3">
        <w:rPr>
          <w:rFonts w:ascii="Times New Roman" w:eastAsia="Times New Roman" w:hAnsi="Times New Roman"/>
          <w:sz w:val="24"/>
          <w:szCs w:val="24"/>
          <w:lang w:eastAsia="ru-RU"/>
        </w:rPr>
        <w:t>ончание приема предложений: «</w:t>
      </w:r>
      <w:proofErr w:type="gramStart"/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33B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proofErr w:type="gramEnd"/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</w:t>
      </w:r>
      <w:r w:rsidR="00CE3BD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7286A">
        <w:rPr>
          <w:rFonts w:ascii="Times New Roman" w:eastAsia="Times New Roman" w:hAnsi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12:00 (МСК)</w:t>
      </w:r>
    </w:p>
    <w:p w:rsidR="00A8666F" w:rsidRDefault="00A8666F" w:rsidP="00A8666F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Цена и порядок оплаты</w:t>
      </w:r>
    </w:p>
    <w:p w:rsidR="00A8666F" w:rsidRDefault="00A8666F" w:rsidP="00A8666F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предложения должна быть твердая (фиксированная) на весь период проведения закупки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обязательств по Договору и учитывать инфляцию и иные хозяйственные риски. Корректировка цены Договора в связи с инфляцией в период исполнения Договора не производится.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в предложении должна включать все обязательные платежи (включая НДС), стоимость транспортных расходов (доставка до адреса Заказчиком) и всех сопутствующих работ (услуг), а также все скидки, предлагаемые участником.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 порядок оплаты согласовывается с Заказчиком и указывается в Договоре, либо в приложениях. Оплата производится в российских рублях в безналичном порядке платежным поручением. Датой оплаты считается дата поступления денежных средств на расчетный счет Поставщика.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процедуры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дисквалификации;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договоров, расторгнутых (в течение 2-х лет перед размещением извещения о закупке) в судебном порядке, в связи с неисполнением/ненадлежащим исполнением со стороны участника закупок обязательств по договору.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сведений об участнике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качеству, количеству, техническим и иным характеристикам товара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Гарантийные обязательства.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гарантии на изделия не менее 12 месяцев со дня подписания актов приема передач.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период гарантийной эксплуатации обнаружатся недостатки, которые не позволят продолжить нормальную эксплуатацию изделий до их устранения, то гарантийный срок продляется на период устранения недостатков. Устранение недостатков осуществляется Поставщиком в полном объеме и за свой счет.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участия в тендере претенденту необходимо предоставить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одним пакетом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Перечни запрашиваемых у претендентов документов и сведений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1. У юридического лица, зарегистрированного по законодательству РФ: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редакции, свидетельства/листа записи о постановке на налоговый учет и о государственной регистрации, протокола/решения о назначении единоличного исполнительного органа;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подтверждение налогового органа о применении специальных режимов </w:t>
      </w:r>
      <w:proofErr w:type="spellStart"/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налогообложе-ния</w:t>
      </w:r>
      <w:proofErr w:type="spellEnd"/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(бухгалтерский баланс, отчет о финансовых результатах и декларация по НДС на последнюю отчетную дату), расчет по страховым взносам;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2. У иностранного юридического лица: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документы, подтверждающие полномочия лица, действующего от имени юридического лица;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выписку из торгового реестра;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сертификат налогового </w:t>
      </w:r>
      <w:proofErr w:type="spell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резидентства</w:t>
      </w:r>
      <w:proofErr w:type="spell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на территории РФ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 в бюджет РФ;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3. У физического лица: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постановке физического лица на налоговый учет;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страхового свидетельства обязательного пенсионного страхования (СНИЛС);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подтверждение налогового органа о применении специальных режимов </w:t>
      </w:r>
      <w:proofErr w:type="spellStart"/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налогообложе-ния</w:t>
      </w:r>
      <w:proofErr w:type="spellEnd"/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4. У индивидуального предпринимателя: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государственной регистрации;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подтверждение налогового органа о применении специальных режимов </w:t>
      </w:r>
      <w:proofErr w:type="spellStart"/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налогообложе-ния</w:t>
      </w:r>
      <w:proofErr w:type="spellEnd"/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на последнюю отчетную дату;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предоставления коммерческих предложений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8666F" w:rsidRDefault="009E0DBE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info</w:t>
        </w:r>
        <w:r w:rsidR="00A8666F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tksml</w:t>
        </w:r>
        <w:r w:rsidR="00A8666F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gorkunov</w:t>
        </w:r>
        <w:r w:rsidR="00A8666F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com</w:t>
        </w:r>
      </w:hyperlink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ИНИЦИАТОР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(для решения оперативных вопросов): </w:t>
      </w:r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Начальник Службы обеспечения 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.8 48(134)50262 доб.41507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ВАЖНО!!!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Коммерческие  предложения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не отвечающие указанным требованиям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НЕ РАССМАТРИВАЮТСЯ!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Приложение №1: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Техническое задание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25687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Должность инициатора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Начальник службы </w:t>
      </w:r>
      <w:proofErr w:type="gramStart"/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обеспечения </w:t>
      </w:r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proofErr w:type="gramEnd"/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 </w:t>
      </w:r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3B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Гучанова Анна Николаевн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«СОГЛАСОВАНО»</w:t>
      </w:r>
    </w:p>
    <w:p w:rsidR="00A8666F" w:rsidRDefault="00025687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25B0E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Руководитель инициатора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</w:t>
      </w:r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Генеральный директор ______________ </w:t>
      </w:r>
      <w:proofErr w:type="gramStart"/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Бурков  Алексей</w:t>
      </w:r>
      <w:proofErr w:type="gramEnd"/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Анатольевич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                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057C46" w:rsidRDefault="00A8666F" w:rsidP="00A8666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57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057C46" w:rsidRDefault="00057C46" w:rsidP="00A8666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496" w:rsidRDefault="00433496" w:rsidP="00433496">
      <w:pPr>
        <w:tabs>
          <w:tab w:val="left" w:pos="6804"/>
          <w:tab w:val="left" w:pos="117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3496" w:rsidRPr="007F263E" w:rsidRDefault="00433496" w:rsidP="00433496">
      <w:pPr>
        <w:shd w:val="clear" w:color="auto" w:fill="ECEBE7"/>
        <w:spacing w:after="0" w:line="240" w:lineRule="auto"/>
        <w:rPr>
          <w:rFonts w:ascii="Arial" w:eastAsia="Times New Roman" w:hAnsi="Arial" w:cs="Arial"/>
          <w:vanish/>
          <w:color w:val="373737"/>
          <w:sz w:val="40"/>
          <w:szCs w:val="40"/>
          <w:lang w:eastAsia="ru-RU"/>
        </w:rPr>
      </w:pPr>
    </w:p>
    <w:p w:rsidR="00433496" w:rsidRPr="007F263E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25"/>
          <w:szCs w:val="25"/>
          <w:lang w:eastAsia="ru-RU"/>
        </w:rPr>
      </w:pPr>
      <w:r>
        <w:rPr>
          <w:rFonts w:eastAsia="Times New Roman" w:cs="Calibri"/>
          <w:color w:val="373737"/>
          <w:sz w:val="25"/>
          <w:szCs w:val="25"/>
          <w:lang w:eastAsia="ru-RU"/>
        </w:rPr>
        <w:br/>
      </w: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eastAsia="Times New Roman" w:cs="Calibri"/>
          <w:b/>
          <w:bCs/>
          <w:color w:val="373737"/>
          <w:spacing w:val="15"/>
          <w:sz w:val="40"/>
          <w:szCs w:val="40"/>
          <w:lang w:eastAsia="ru-RU"/>
        </w:rPr>
      </w:pPr>
      <w:r w:rsidRPr="007F263E">
        <w:rPr>
          <w:rFonts w:eastAsia="Times New Roman" w:cs="Calibri"/>
          <w:b/>
          <w:bCs/>
          <w:color w:val="373737"/>
          <w:spacing w:val="15"/>
          <w:sz w:val="40"/>
          <w:szCs w:val="40"/>
          <w:lang w:eastAsia="ru-RU"/>
        </w:rPr>
        <w:t>Техническое задание по изготовлению щитов для поддонов:</w:t>
      </w:r>
    </w:p>
    <w:p w:rsidR="00433496" w:rsidRPr="007F263E" w:rsidRDefault="00433496" w:rsidP="00433496">
      <w:pPr>
        <w:shd w:val="clear" w:color="auto" w:fill="ECEBE7"/>
        <w:spacing w:after="0" w:line="240" w:lineRule="auto"/>
        <w:outlineLvl w:val="2"/>
        <w:rPr>
          <w:rFonts w:eastAsia="Times New Roman" w:cs="Calibri"/>
          <w:b/>
          <w:bCs/>
          <w:color w:val="373737"/>
          <w:spacing w:val="15"/>
          <w:sz w:val="40"/>
          <w:szCs w:val="40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25"/>
          <w:szCs w:val="25"/>
          <w:lang w:eastAsia="ru-RU"/>
        </w:rPr>
      </w:pP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t>Номинальный размер изделия – 800 х 1200 (мм).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Фактический размер изделия – 800 х 1200 мм.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1. Изготовление поддона допускается из любого типа древесины</w:t>
      </w:r>
      <w:r>
        <w:rPr>
          <w:rFonts w:eastAsia="Times New Roman" w:cs="Calibri"/>
          <w:color w:val="373737"/>
          <w:sz w:val="25"/>
          <w:szCs w:val="25"/>
          <w:lang w:eastAsia="ru-RU"/>
        </w:rPr>
        <w:t>(ель, сосна, осина, ольха, берёза )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t>.</w:t>
      </w:r>
      <w:r>
        <w:rPr>
          <w:rFonts w:eastAsia="Times New Roman" w:cs="Calibri"/>
          <w:color w:val="373737"/>
          <w:sz w:val="25"/>
          <w:szCs w:val="25"/>
          <w:lang w:eastAsia="ru-RU"/>
        </w:rPr>
        <w:t>Влажность древесного материала не должна превышать 22%.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t> Рекомендуется использовать о</w:t>
      </w:r>
      <w:r w:rsidR="004C751A">
        <w:rPr>
          <w:rFonts w:eastAsia="Times New Roman" w:cs="Calibri"/>
          <w:color w:val="373737"/>
          <w:sz w:val="25"/>
          <w:szCs w:val="25"/>
          <w:lang w:eastAsia="ru-RU"/>
        </w:rPr>
        <w:t>брезные пиломатериалы. </w:t>
      </w:r>
    </w:p>
    <w:p w:rsidR="00433496" w:rsidRPr="007F263E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25"/>
          <w:szCs w:val="25"/>
          <w:lang w:eastAsia="ru-RU"/>
        </w:rPr>
      </w:pP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2. В древесном материале допускается естественная шероховатость от распилки.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3. На внутренних досках допускается тупой обзол. Область обзола не должна превышать 10 (мм) в толщину и 20 (мм) в длину.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4. Для изготовления поддона применяют доски только хвойных пород.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5. Гвозди используемые на шашках 90 х 3.5 (мм) - сверху, 70 х 3.5 (мм) - снизу.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6. Доски верхнего щита прибиваются гладким гвоздем 60 х 2.5 (мм). Гвоздь загибается с обратной стороны доски.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7. Следует обеспечить срез фаски 15 х 15 (мм) под углом 45 градусов.</w:t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  <w:t>8. Волокна шашки располагаются параллельно поверх</w:t>
      </w:r>
      <w:r w:rsidR="004C751A">
        <w:rPr>
          <w:rFonts w:eastAsia="Times New Roman" w:cs="Calibri"/>
          <w:color w:val="373737"/>
          <w:sz w:val="25"/>
          <w:szCs w:val="25"/>
          <w:lang w:eastAsia="ru-RU"/>
        </w:rPr>
        <w:t>ности.</w:t>
      </w:r>
      <w:r w:rsidR="004C751A">
        <w:rPr>
          <w:rFonts w:eastAsia="Times New Roman" w:cs="Calibri"/>
          <w:color w:val="373737"/>
          <w:sz w:val="25"/>
          <w:szCs w:val="25"/>
          <w:lang w:eastAsia="ru-RU"/>
        </w:rPr>
        <w:br/>
      </w:r>
      <w:r w:rsidR="004C751A">
        <w:rPr>
          <w:rFonts w:eastAsia="Times New Roman" w:cs="Calibri"/>
          <w:color w:val="373737"/>
          <w:sz w:val="25"/>
          <w:szCs w:val="25"/>
          <w:lang w:eastAsia="ru-RU"/>
        </w:rPr>
        <w:br/>
      </w:r>
    </w:p>
    <w:p w:rsidR="00433496" w:rsidRPr="007F263E" w:rsidRDefault="00433496" w:rsidP="00433496">
      <w:pPr>
        <w:shd w:val="clear" w:color="auto" w:fill="ECEBE7"/>
        <w:spacing w:after="0" w:line="240" w:lineRule="auto"/>
        <w:jc w:val="both"/>
        <w:rPr>
          <w:rFonts w:eastAsia="Times New Roman" w:cs="Calibri"/>
          <w:color w:val="373737"/>
          <w:sz w:val="25"/>
          <w:szCs w:val="25"/>
          <w:lang w:eastAsia="ru-RU"/>
        </w:rPr>
      </w:pPr>
      <w:r w:rsidRPr="007F263E">
        <w:rPr>
          <w:rFonts w:eastAsia="Times New Roman" w:cs="Calibri"/>
          <w:color w:val="373737"/>
          <w:sz w:val="25"/>
          <w:szCs w:val="25"/>
          <w:lang w:eastAsia="ru-RU"/>
        </w:rPr>
        <w:br/>
      </w:r>
      <w:r>
        <w:rPr>
          <w:rFonts w:eastAsia="Times New Roman" w:cs="Calibri"/>
          <w:color w:val="373737"/>
          <w:sz w:val="25"/>
          <w:szCs w:val="25"/>
          <w:lang w:eastAsia="ru-RU"/>
        </w:rPr>
        <w:br/>
      </w:r>
    </w:p>
    <w:p w:rsidR="00433496" w:rsidRPr="007F263E" w:rsidRDefault="00433496" w:rsidP="00433496">
      <w:pPr>
        <w:shd w:val="clear" w:color="auto" w:fill="ECEBE7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7F263E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outlineLvl w:val="2"/>
        <w:rPr>
          <w:rFonts w:eastAsia="Times New Roman" w:cs="Calibri"/>
          <w:b/>
          <w:bCs/>
          <w:color w:val="373737"/>
          <w:spacing w:val="15"/>
          <w:sz w:val="40"/>
          <w:szCs w:val="40"/>
          <w:lang w:eastAsia="ru-RU"/>
        </w:rPr>
      </w:pPr>
      <w:r w:rsidRPr="007F263E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9159C">
        <w:rPr>
          <w:rFonts w:eastAsia="Times New Roman" w:cs="Calibri"/>
          <w:b/>
          <w:bCs/>
          <w:color w:val="373737"/>
          <w:spacing w:val="15"/>
          <w:sz w:val="40"/>
          <w:szCs w:val="40"/>
          <w:lang w:eastAsia="ru-RU"/>
        </w:rPr>
        <w:t xml:space="preserve">Чертеж </w:t>
      </w:r>
      <w:r w:rsidRPr="007F263E">
        <w:rPr>
          <w:rFonts w:eastAsia="Times New Roman" w:cs="Calibri"/>
          <w:b/>
          <w:bCs/>
          <w:color w:val="373737"/>
          <w:spacing w:val="15"/>
          <w:sz w:val="40"/>
          <w:szCs w:val="40"/>
          <w:lang w:eastAsia="ru-RU"/>
        </w:rPr>
        <w:t>поддона 800 х 1200 мм:</w:t>
      </w:r>
    </w:p>
    <w:p w:rsidR="00433496" w:rsidRPr="007F263E" w:rsidRDefault="00433496" w:rsidP="00433496">
      <w:pPr>
        <w:shd w:val="clear" w:color="auto" w:fill="ECEBE7"/>
        <w:spacing w:after="0" w:line="240" w:lineRule="auto"/>
        <w:outlineLvl w:val="2"/>
        <w:rPr>
          <w:rFonts w:eastAsia="Times New Roman" w:cs="Calibri"/>
          <w:b/>
          <w:bCs/>
          <w:color w:val="373737"/>
          <w:spacing w:val="15"/>
          <w:sz w:val="40"/>
          <w:szCs w:val="40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t>Расход материала, и условные обознач</w:t>
      </w:r>
      <w:r w:rsidRPr="00B9159C">
        <w:rPr>
          <w:rFonts w:eastAsia="Times New Roman" w:cs="Calibri"/>
          <w:color w:val="373737"/>
          <w:sz w:val="32"/>
          <w:szCs w:val="32"/>
          <w:lang w:eastAsia="ru-RU"/>
        </w:rPr>
        <w:t>ения на чертеже:</w:t>
      </w:r>
      <w:r w:rsidRPr="00B9159C">
        <w:rPr>
          <w:rFonts w:eastAsia="Times New Roman" w:cs="Calibri"/>
          <w:color w:val="373737"/>
          <w:sz w:val="32"/>
          <w:szCs w:val="32"/>
          <w:lang w:eastAsia="ru-RU"/>
        </w:rPr>
        <w:br/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1. Продольная доска - 1200х145х22</w:t>
      </w:r>
      <w:r>
        <w:rPr>
          <w:rFonts w:eastAsia="Times New Roman" w:cs="Calibri"/>
          <w:color w:val="373737"/>
          <w:sz w:val="32"/>
          <w:szCs w:val="32"/>
          <w:lang w:eastAsia="ru-RU"/>
        </w:rPr>
        <w:t>(20)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t xml:space="preserve"> - 4 шт.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2. Продольная доска - 1200х100х22</w:t>
      </w:r>
      <w:r>
        <w:rPr>
          <w:rFonts w:eastAsia="Times New Roman" w:cs="Calibri"/>
          <w:color w:val="373737"/>
          <w:sz w:val="32"/>
          <w:szCs w:val="32"/>
          <w:lang w:eastAsia="ru-RU"/>
        </w:rPr>
        <w:t>(20)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t xml:space="preserve"> - 4 шт.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3. Поперечная доска - 800х145х22</w:t>
      </w:r>
      <w:r>
        <w:rPr>
          <w:rFonts w:eastAsia="Times New Roman" w:cs="Calibri"/>
          <w:color w:val="373737"/>
          <w:sz w:val="32"/>
          <w:szCs w:val="32"/>
          <w:lang w:eastAsia="ru-RU"/>
        </w:rPr>
        <w:t>(20)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t xml:space="preserve"> - 3 шт.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4. Боковая шашка - 145х100х78, потребность - 6 шт.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5. Центральная шашка - 145х145х78 - 3 шт.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6. Винтовой гвоздь - 70х3, потребность - 27 шт.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7. Винтовой гвоздь - 90х3,5, потребность - 27 шт.</w:t>
      </w:r>
      <w:r w:rsidRPr="007F263E">
        <w:rPr>
          <w:rFonts w:eastAsia="Times New Roman" w:cs="Calibri"/>
          <w:color w:val="373737"/>
          <w:sz w:val="32"/>
          <w:szCs w:val="32"/>
          <w:lang w:eastAsia="ru-RU"/>
        </w:rPr>
        <w:br/>
        <w:t>8. Гладкий гвоздь - 60х2,5, потребность - 24 шт.</w:t>
      </w: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9E0DBE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  <w:r>
        <w:rPr>
          <w:rFonts w:eastAsia="Times New Roman" w:cs="Calibri"/>
          <w:noProof/>
          <w:color w:val="373737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264.75pt">
            <v:imagedata r:id="rId10" o:title="поддон"/>
          </v:shape>
        </w:pict>
      </w: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433496" w:rsidRPr="007F263E" w:rsidRDefault="00433496" w:rsidP="00433496">
      <w:pPr>
        <w:shd w:val="clear" w:color="auto" w:fill="ECEBE7"/>
        <w:spacing w:after="0" w:line="240" w:lineRule="auto"/>
        <w:rPr>
          <w:rFonts w:eastAsia="Times New Roman" w:cs="Calibri"/>
          <w:color w:val="373737"/>
          <w:sz w:val="32"/>
          <w:szCs w:val="32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477FE8" w:rsidRDefault="00477FE8"/>
    <w:sectPr w:rsidR="00477FE8" w:rsidSect="004B5AB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ar(--wd-entities-title-font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0863"/>
    <w:multiLevelType w:val="multilevel"/>
    <w:tmpl w:val="BE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E7A51"/>
    <w:multiLevelType w:val="multilevel"/>
    <w:tmpl w:val="B2D63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53A11E62"/>
    <w:multiLevelType w:val="multilevel"/>
    <w:tmpl w:val="872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0"/>
    <w:rsid w:val="00025687"/>
    <w:rsid w:val="00036A2E"/>
    <w:rsid w:val="00057C46"/>
    <w:rsid w:val="000D5585"/>
    <w:rsid w:val="000E0CC8"/>
    <w:rsid w:val="00123038"/>
    <w:rsid w:val="00152E16"/>
    <w:rsid w:val="001B0E4C"/>
    <w:rsid w:val="001B3F05"/>
    <w:rsid w:val="00203164"/>
    <w:rsid w:val="00225B0E"/>
    <w:rsid w:val="002369E0"/>
    <w:rsid w:val="0025729C"/>
    <w:rsid w:val="002D50F8"/>
    <w:rsid w:val="00326F1C"/>
    <w:rsid w:val="0037091C"/>
    <w:rsid w:val="003A15A4"/>
    <w:rsid w:val="003B795E"/>
    <w:rsid w:val="00433496"/>
    <w:rsid w:val="00477FE8"/>
    <w:rsid w:val="004B5ABE"/>
    <w:rsid w:val="004C751A"/>
    <w:rsid w:val="004D3AE0"/>
    <w:rsid w:val="00515FCC"/>
    <w:rsid w:val="00552EF8"/>
    <w:rsid w:val="0056147A"/>
    <w:rsid w:val="0058006A"/>
    <w:rsid w:val="005E2600"/>
    <w:rsid w:val="00615171"/>
    <w:rsid w:val="0066352E"/>
    <w:rsid w:val="00673316"/>
    <w:rsid w:val="006A7603"/>
    <w:rsid w:val="006F481C"/>
    <w:rsid w:val="0071443C"/>
    <w:rsid w:val="007231EB"/>
    <w:rsid w:val="0077286A"/>
    <w:rsid w:val="007805E4"/>
    <w:rsid w:val="0078621D"/>
    <w:rsid w:val="0085252A"/>
    <w:rsid w:val="008809B2"/>
    <w:rsid w:val="00891F53"/>
    <w:rsid w:val="009435DC"/>
    <w:rsid w:val="009441FE"/>
    <w:rsid w:val="0096032A"/>
    <w:rsid w:val="009E0DBE"/>
    <w:rsid w:val="009E3FE3"/>
    <w:rsid w:val="00A21267"/>
    <w:rsid w:val="00A5074A"/>
    <w:rsid w:val="00A8666F"/>
    <w:rsid w:val="00B10D87"/>
    <w:rsid w:val="00B233B3"/>
    <w:rsid w:val="00B35193"/>
    <w:rsid w:val="00B65C24"/>
    <w:rsid w:val="00B6702F"/>
    <w:rsid w:val="00BD1CA1"/>
    <w:rsid w:val="00C57064"/>
    <w:rsid w:val="00C61A63"/>
    <w:rsid w:val="00C711DB"/>
    <w:rsid w:val="00C76270"/>
    <w:rsid w:val="00C77412"/>
    <w:rsid w:val="00CA1492"/>
    <w:rsid w:val="00CD13F2"/>
    <w:rsid w:val="00CE3B41"/>
    <w:rsid w:val="00CE3BDC"/>
    <w:rsid w:val="00D56395"/>
    <w:rsid w:val="00E555C6"/>
    <w:rsid w:val="00EA36FA"/>
    <w:rsid w:val="00EB2A46"/>
    <w:rsid w:val="00EF64D0"/>
    <w:rsid w:val="00F37D6D"/>
    <w:rsid w:val="00F469B5"/>
    <w:rsid w:val="00F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68B3"/>
  <w15:chartTrackingRefBased/>
  <w15:docId w15:val="{AA5235AD-F6BD-4B98-8D5D-904F115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4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666F"/>
    <w:rPr>
      <w:color w:val="0000FF"/>
      <w:u w:val="single"/>
    </w:rPr>
  </w:style>
  <w:style w:type="paragraph" w:styleId="a4">
    <w:name w:val="No Spacing"/>
    <w:uiPriority w:val="1"/>
    <w:qFormat/>
    <w:rsid w:val="00A866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8666F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Базовый"/>
    <w:rsid w:val="00A8666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A86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86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866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4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ksml@gorkun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tksml@gorkun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tksml@gorkunov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.tksml@gorkun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Гучанова Анна Николаевна</cp:lastModifiedBy>
  <cp:revision>48</cp:revision>
  <cp:lastPrinted>2023-10-25T12:41:00Z</cp:lastPrinted>
  <dcterms:created xsi:type="dcterms:W3CDTF">2023-02-07T11:26:00Z</dcterms:created>
  <dcterms:modified xsi:type="dcterms:W3CDTF">2024-01-10T12:40:00Z</dcterms:modified>
</cp:coreProperties>
</file>